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rPr>
          <w:rFonts w:hint="default" w:ascii="黑体" w:hAnsi="黑体" w:eastAsia="黑体" w:cs="黑体"/>
          <w:szCs w:val="32"/>
          <w:lang w:val="en-US" w:eastAsia="zh-CN"/>
        </w:rPr>
      </w:pPr>
      <w:r>
        <w:rPr>
          <w:rFonts w:hint="eastAsia" w:ascii="黑体" w:hAnsi="黑体" w:eastAsia="黑体" w:cs="黑体"/>
          <w:szCs w:val="32"/>
          <w:lang w:val="en-US" w:eastAsia="zh-CN"/>
        </w:rPr>
        <w:t>附件3</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广东省建设项目（用人单位）职业病</w:t>
      </w:r>
    </w:p>
    <w:p>
      <w:pPr>
        <w:jc w:val="center"/>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lang w:val="en-US" w:eastAsia="zh-CN"/>
        </w:rPr>
        <w:t>危</w:t>
      </w:r>
      <w:r>
        <w:rPr>
          <w:rFonts w:hint="eastAsia" w:ascii="方正小标宋简体" w:hAnsi="方正小标宋简体" w:eastAsia="方正小标宋简体" w:cs="方正小标宋简体"/>
          <w:sz w:val="44"/>
          <w:szCs w:val="44"/>
        </w:rPr>
        <w:t>害风险分类管理目录（2021年版）</w:t>
      </w:r>
    </w:p>
    <w:p>
      <w:pPr>
        <w:keepNext w:val="0"/>
        <w:keepLines w:val="0"/>
        <w:pageBreakBefore w:val="0"/>
        <w:widowControl w:val="0"/>
        <w:kinsoku/>
        <w:wordWrap/>
        <w:overflowPunct/>
        <w:topLinePunct w:val="0"/>
        <w:autoSpaceDE/>
        <w:autoSpaceDN/>
        <w:bidi w:val="0"/>
        <w:adjustRightInd/>
        <w:snapToGrid w:val="0"/>
        <w:spacing w:line="360" w:lineRule="exact"/>
        <w:ind w:left="0" w:leftChars="0" w:firstLine="420" w:firstLineChars="200"/>
        <w:jc w:val="both"/>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napToGrid w:val="0"/>
          <w:kern w:val="0"/>
          <w:sz w:val="21"/>
          <w:szCs w:val="21"/>
        </w:rPr>
        <w:t>省卫生健康委组织有关专家结合我省职业病危害实际，在国家卫生健康委公布《建设项目职业病危害风险分类管理目录》的基础上，补充完善并形成《广东省建设项目（用人单位）职业病危害风险分类管理目录（2021年版）》。《目录》适用于广东省建设项目职业病防护设施“三同时”分类监督管理和用人单位工作场所职业病危害因素定期检测频次确定以及用人单位进行职业病危害现状评价依据，并将根据产业结构和职业病危害形势适时予以增补。</w:t>
      </w:r>
      <w:r>
        <w:rPr>
          <w:rFonts w:hint="eastAsia" w:ascii="仿宋_GB2312" w:hAnsi="仿宋_GB2312" w:eastAsia="仿宋_GB2312" w:cs="仿宋_GB2312"/>
          <w:snapToGrid w:val="0"/>
          <w:kern w:val="0"/>
          <w:sz w:val="21"/>
          <w:szCs w:val="21"/>
          <w:lang w:eastAsia="zh-CN"/>
        </w:rPr>
        <w:t>（</w:t>
      </w:r>
      <w:r>
        <w:rPr>
          <w:rFonts w:hint="eastAsia" w:ascii="仿宋_GB2312" w:hAnsi="仿宋_GB2312" w:eastAsia="仿宋_GB2312" w:cs="仿宋_GB2312"/>
          <w:snapToGrid w:val="0"/>
          <w:kern w:val="0"/>
          <w:sz w:val="21"/>
          <w:szCs w:val="21"/>
          <w:lang w:val="en-US" w:eastAsia="zh-CN"/>
        </w:rPr>
        <w:t>来源：《广东省卫生健康委员会办公室进一步加强工作场所职业卫生管理 规范职业病诊断与鉴定管理工作的通知》粤卫办职健函〔2021〕6号）</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183"/>
        <w:gridCol w:w="4910"/>
        <w:gridCol w:w="928"/>
        <w:gridCol w:w="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blHeader/>
        </w:trPr>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napToGrid w:val="0"/>
              <w:spacing w:line="280" w:lineRule="atLeast"/>
              <w:ind w:firstLine="0" w:firstLineChars="0"/>
              <w:jc w:val="center"/>
              <w:textAlignment w:val="auto"/>
              <w:rPr>
                <w:rFonts w:hint="eastAsia" w:ascii="宋体" w:hAnsi="宋体" w:eastAsia="宋体" w:cs="宋体"/>
                <w:b/>
                <w:bCs w:val="0"/>
                <w:color w:val="auto"/>
                <w:sz w:val="24"/>
                <w:szCs w:val="24"/>
                <w:vertAlign w:val="baseline"/>
              </w:rPr>
            </w:pPr>
            <w:r>
              <w:rPr>
                <w:rFonts w:hint="eastAsia" w:ascii="宋体" w:hAnsi="宋体" w:eastAsia="宋体" w:cs="宋体"/>
                <w:b/>
                <w:bCs w:val="0"/>
                <w:color w:val="auto"/>
                <w:spacing w:val="-20"/>
                <w:sz w:val="24"/>
                <w:szCs w:val="24"/>
                <w:vertAlign w:val="baseline"/>
                <w:lang w:bidi="ar"/>
              </w:rPr>
              <w:t>序号</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napToGrid w:val="0"/>
              <w:spacing w:line="280" w:lineRule="atLeast"/>
              <w:ind w:firstLine="0" w:firstLineChars="0"/>
              <w:jc w:val="center"/>
              <w:textAlignment w:val="auto"/>
              <w:rPr>
                <w:rFonts w:hint="eastAsia" w:ascii="宋体" w:hAnsi="宋体" w:eastAsia="宋体" w:cs="宋体"/>
                <w:b/>
                <w:bCs w:val="0"/>
                <w:color w:val="auto"/>
                <w:sz w:val="24"/>
                <w:szCs w:val="24"/>
                <w:vertAlign w:val="baseline"/>
              </w:rPr>
            </w:pPr>
            <w:r>
              <w:rPr>
                <w:rFonts w:hint="eastAsia" w:ascii="宋体" w:hAnsi="宋体" w:eastAsia="宋体" w:cs="宋体"/>
                <w:b/>
                <w:bCs w:val="0"/>
                <w:color w:val="auto"/>
                <w:spacing w:val="-20"/>
                <w:sz w:val="24"/>
                <w:szCs w:val="24"/>
                <w:vertAlign w:val="baseline"/>
                <w:lang w:bidi="ar"/>
              </w:rPr>
              <w:t>行业编码</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napToGrid w:val="0"/>
              <w:spacing w:line="280" w:lineRule="atLeast"/>
              <w:ind w:firstLine="0" w:firstLineChars="0"/>
              <w:jc w:val="center"/>
              <w:textAlignment w:val="auto"/>
              <w:rPr>
                <w:rFonts w:hint="eastAsia" w:ascii="宋体" w:hAnsi="宋体" w:eastAsia="宋体" w:cs="宋体"/>
                <w:b/>
                <w:bCs w:val="0"/>
                <w:color w:val="auto"/>
                <w:sz w:val="24"/>
                <w:szCs w:val="24"/>
                <w:vertAlign w:val="baseline"/>
              </w:rPr>
            </w:pPr>
            <w:r>
              <w:rPr>
                <w:rFonts w:hint="eastAsia" w:ascii="宋体" w:hAnsi="宋体" w:eastAsia="宋体" w:cs="宋体"/>
                <w:b/>
                <w:bCs w:val="0"/>
                <w:color w:val="auto"/>
                <w:spacing w:val="-20"/>
                <w:sz w:val="24"/>
                <w:szCs w:val="24"/>
                <w:vertAlign w:val="baseline"/>
                <w:lang w:bidi="ar"/>
              </w:rPr>
              <w:t>类别名称</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napToGrid w:val="0"/>
              <w:spacing w:line="280" w:lineRule="atLeast"/>
              <w:ind w:firstLine="0" w:firstLineChars="0"/>
              <w:jc w:val="center"/>
              <w:textAlignment w:val="auto"/>
              <w:rPr>
                <w:rFonts w:hint="eastAsia" w:ascii="宋体" w:hAnsi="宋体" w:eastAsia="宋体" w:cs="宋体"/>
                <w:b/>
                <w:bCs w:val="0"/>
                <w:color w:val="auto"/>
                <w:sz w:val="24"/>
                <w:szCs w:val="24"/>
                <w:vertAlign w:val="baseline"/>
              </w:rPr>
            </w:pPr>
            <w:r>
              <w:rPr>
                <w:rFonts w:hint="eastAsia" w:ascii="宋体" w:hAnsi="宋体" w:eastAsia="宋体" w:cs="宋体"/>
                <w:b/>
                <w:bCs w:val="0"/>
                <w:color w:val="auto"/>
                <w:spacing w:val="-20"/>
                <w:sz w:val="24"/>
                <w:szCs w:val="24"/>
                <w:vertAlign w:val="baseline"/>
                <w:lang w:bidi="ar"/>
              </w:rPr>
              <w:t>严重</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napToGrid w:val="0"/>
              <w:spacing w:line="280" w:lineRule="atLeast"/>
              <w:ind w:firstLine="0" w:firstLineChars="0"/>
              <w:jc w:val="center"/>
              <w:textAlignment w:val="auto"/>
              <w:rPr>
                <w:rFonts w:hint="eastAsia" w:ascii="宋体" w:hAnsi="宋体" w:eastAsia="宋体" w:cs="宋体"/>
                <w:b/>
                <w:bCs w:val="0"/>
                <w:color w:val="auto"/>
                <w:sz w:val="24"/>
                <w:szCs w:val="24"/>
                <w:vertAlign w:val="baseline"/>
              </w:rPr>
            </w:pPr>
            <w:r>
              <w:rPr>
                <w:rFonts w:hint="eastAsia" w:ascii="宋体" w:hAnsi="宋体" w:eastAsia="宋体" w:cs="宋体"/>
                <w:b/>
                <w:bCs w:val="0"/>
                <w:color w:val="auto"/>
                <w:spacing w:val="-20"/>
                <w:sz w:val="24"/>
                <w:szCs w:val="24"/>
                <w:vertAlign w:val="baseline"/>
                <w:lang w:bidi="ar"/>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一</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A</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农、林、牧、渔业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（一）</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A01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农业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A011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谷物种植</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A012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豆类、油料和薯类种植</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A013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棉、麻、糖、烟草种植</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A014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蔬菜、食用菌及园艺作物种植</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A015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水果种植</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A016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坚果、含油果、香料和饮料作物种植</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7</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A017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中药材种植</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8</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A018</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草种植及割草</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9</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A019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其他农业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A02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林业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A021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林木育种和育苗</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A022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造林和更新</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A023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森林经营、管护和改培</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A024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木材和竹材采运</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A025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林产品采集</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（三）</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A03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畜牧业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A031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牲畜饲养</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1.1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牲畜饲养（牛、羊）</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1.2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牲畜饲养（其他）</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A032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家禽饲养</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A033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狩猎和捕捉动物</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A039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其他畜牧业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（四）</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A04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渔业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A041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水产养殖</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A042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水产捕捞</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（五）</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A05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农、林、牧、渔专业及辅助性活动</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A051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农业专业及辅助性活动</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A052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林业专业及辅助性活动</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A053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畜牧专业及辅助性活动</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畜牧专业及辅助性活动（牛、羊）</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畜牧专业及辅助性活动（其他）</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A054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渔业专业及辅助性活动</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B</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采矿业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（一）</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B06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煤炭开采和洗选业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B061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烟煤和无烟煤开采洗选</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B062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褐煤开采洗选</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B069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其他煤炭采选</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B07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石油和天然气开采业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B071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石油开采</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B072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天然气开采</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含硫天然气开采</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其他天然气开采</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（三）</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B08</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黑色金属矿采选业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B081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铁矿采选</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B082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锰矿、铬矿采选</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B089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其他黑色金属矿采选</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（四）</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B09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有色金属矿采选业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B091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常用有色金属矿采选</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B092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贵金属矿采选</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B093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稀有稀土金属矿采选</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（五）</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B10</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非金属矿采选业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B101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土砂石开采</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B102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化学矿开采</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B103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采盐</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B109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石棉、石英砂及其他非金属矿采选</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（六）</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B11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开采专业及辅助性活动</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B111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煤炭开采和洗选专业及辅助性活动</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B112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石油和天然气开采专业及辅助性活动</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B119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其他开采专业及辅助性活动</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（七）</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B12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其他采矿业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B120</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其他采矿业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三</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（一）</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C13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农副食品加工业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C131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谷物磨制</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C132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饲料加工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C133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植物油加工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C134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制糖业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C135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屠宰及肉类加工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C136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水产品加工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7</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C137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蔬菜、菌类、水果和坚果加工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8</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C139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其他农副食品加工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C14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食品制造业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C141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焙烤食品制造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C142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糖果、巧克力及蜜饯制造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C143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方便食品制造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C144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乳制品制造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C145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罐头食品制造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C146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调味品、发酵制品制造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7</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C149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其他食品制造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（三）</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C15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酒、饮料和精制茶制造业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C151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酒的制造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C152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饮料制造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C153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精制茶加工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（四）</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C16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烟草制品业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C161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烟叶复烤</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C162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卷烟制造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C169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其他烟草制品制造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（五）</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C17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纺织业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C171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棉纺织及印染精加工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C172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毛纺织及染整精加工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C173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麻纺织及染整精加工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C174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丝绢纺织及印染精加工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C175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化纤织造及印染精加工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C176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针织或钩针编织物及其制品制造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7</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C177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家用纺织制成品制造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8</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C178</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产业用纺织制成品制造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（六）</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C18</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纺织服装、服饰业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C181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机织服装制造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C182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针织或钩针编织服装制造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C183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服饰制造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（七）</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C19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皮革、毛皮、羽毛及其制品和制鞋业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C191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皮革鞣制加工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C192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皮革制品制造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C193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毛皮鞣制及制品加工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C194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羽毛(绒)加工及制品制造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C195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制鞋业*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（八）</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C20</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木材加工和木、竹、藤、棕、草制品业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C201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木材加工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C202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人造板制造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C203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木质制品制造*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C204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竹、藤、棕、草等制品制造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（九）</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C21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家具制造业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C211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木质家具制造*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C212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竹、藤家具制造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C213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金属家具制造*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C214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塑料家具制造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C219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其他家具制造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（十）</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C22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造纸和纸制品业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C221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纸浆制造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C222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造纸</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C223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纸制品制造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（十一）</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C23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印刷和记录媒介复制业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C231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印刷*</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C232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装订及印刷相关服务</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20"/>
                <w:sz w:val="21"/>
                <w:szCs w:val="21"/>
                <w:vertAlign w:val="baseline"/>
                <w:lang w:bidi="ar"/>
              </w:rPr>
            </w:pPr>
            <w:r>
              <w:rPr>
                <w:rFonts w:hint="eastAsia" w:ascii="仿宋_GB2312" w:hAnsi="仿宋_GB2312" w:eastAsia="仿宋_GB2312" w:cs="仿宋_GB2312"/>
                <w:color w:val="auto"/>
                <w:spacing w:val="-20"/>
                <w:sz w:val="36"/>
                <w:szCs w:val="36"/>
                <w:vertAlign w:val="baseline"/>
                <w:lang w:bidi="ar"/>
              </w:rPr>
              <w:t>▲</w:t>
            </w: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C233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记录媒介复制</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（十二）</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C24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文教、工美、体育和娱乐用品制造业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C241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文教办公用品制造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C242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乐器制造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C243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工艺美术及礼仪用品制造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工艺美术及礼仪用品制造（雕塑、金属、漆器、珠宝）</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工艺美术及礼仪用品制造（其他）</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C244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体育用品制造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体育用品制造（高尔夫球制品）</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体育用品制造（其他）</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C245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玩具制造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C246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游艺器材及娱乐用品制造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（十三）</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C25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石油、煤炭及其他燃料加工业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C251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精炼石油产品制造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C252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煤炭加工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C253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核燃料加工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C254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生物质燃料加工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（十四）</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C26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化学原料和化学制品制造业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C261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基础化学原料制造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C262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肥料制造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C263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农药制造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C264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涂料、油墨、颜料及类似产品制造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C265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合成材料制造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C266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专用化学产品制造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7</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C267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炸药、火工及焰火产品制造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8</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C268</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日用化学产品制造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（十五）</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C27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医药制造业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C271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化学药品原料药制造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C272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化学药品制剂制造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C273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中药饮片加工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C274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中成药生产</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C275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兽用药品制造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C276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生物药品制品制造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7</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C277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卫生材料及医药用品制造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8</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C278</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药用辅料及包装材料制造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（十六）</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C28</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化学纤维制造业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C281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纤维素纤维原料及纤维制造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C282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合成纤维制造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C283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生物基材料制造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（十七）</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C29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橡胶和塑料制品业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C291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橡胶制品业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C292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塑料制品业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（十八）</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C30</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非金属矿物制品业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C301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水泥、石灰和石膏制造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C302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石膏、水泥制品及类似制品制造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C303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砖瓦、石材等建筑材料制造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C304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玻璃制造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C305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玻璃制品制造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C306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玻璃纤维和玻璃纤维增强塑料制品制造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7</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C307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陶瓷制品制造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8</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C308</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耐火材料制品制造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9</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C309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石墨及其他非金属矿物制品制造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（十九）</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C31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黑色金属冶炼和压延加工业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C311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炼铁</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C312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炼钢</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C313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钢压延加工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C314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铁合金冶炼</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（二十）</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C32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有色金属冶炼和压延加工业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C321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常用有色金属冶炼</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C322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贵金属冶炼</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C323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稀有稀土金属冶炼</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C324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有色金属合金制造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C325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有色金属压延加工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（二十一）</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C33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金属制品业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C331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结构性金属制品制造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C332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金属工具制造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C333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集装箱及金属包装容器制造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C334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金属丝绳及其制品制造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C335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建筑、安全用金属制品制造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C336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金属表面处理及热处理加工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7</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C337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搪瓷制品制造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8</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C338</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金属制日用品制造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9</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C339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铸造及其他金属制品制造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（二十二）</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C34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通用设备制造业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C341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锅炉及原动设备制造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C342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金属加工机械制造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C343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物料搬运设备制造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C344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泵、阀门、压缩机及类似机械制造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C345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轴承、齿轮和传动部件制造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C346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烘炉、风机、包装等设备制造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7</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C347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文化、办公用机械制造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8</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C348</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通用零部件制造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9</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C349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其他通用设备制造业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（二十三）</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C35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专用设备制造业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C351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采矿、冶金、建筑专用设备制造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C352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化工、木材、非金属加工专用设备制造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C353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食品、饮料、烟草及饲料生产专用设备制造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C354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印刷、制药、日化及日用品生产专用设备制造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C355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纺织、服装和皮革加工专用设备制造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C356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电子和电工机械专用设备制造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7</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C357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农、林、牧、渔专用机械制造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8</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C358</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医疗仪器设备及器械制造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9</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C359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环保、邮政、社会公共服务及其他专用设备制造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（二十四）</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C36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汽车制造业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C361</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汽车整车制造</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C362</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汽车用发动机制造</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C363</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改装汽车制造</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C364</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低速汽车制造</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C365</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电车制造</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C366</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汽车车身、挂车制造</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7</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C367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汽车零部件及配件制造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（二十五）</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C37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铁路、船舶、航空航天和其他运输设备制造业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C371</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铁路运输设备制造</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C372</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城市轨道交通设备制造</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C373</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船舶及相关装置制造</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C374</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航空、航天器及设备制造</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C375</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摩托车制造</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C376</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自行车和残疾人座车制造</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7</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C377</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助动车制造</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8</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C378</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非公路休闲车及零配件制造</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9</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C379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潜水救捞及其他未列明运输设备制造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（二十六）</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C38</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电气机械和器材制造业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C381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电机制造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C382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输配电及控制设备制造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C383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电线、电缆、光缆及电工器材制造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C384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电池制造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C385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家用电力器具制造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C386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非电力家用器具制造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7</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C387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照明器具制造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8</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C389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其他电气机械及器材制造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（二十七）</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C39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计算机、通信和其他电子设备制造业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C391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计算机制造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C392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通信设备制造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C393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广播电视设备制造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C394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雷达及配套设备制造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C395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非专业视听设备制造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C396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智能消费设备制造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7</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C397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电子器件制造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8</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C398</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电子元件及电子专用材料制造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9</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C399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其他电子设备制造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（二十八）</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C40</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仪器仪表制造业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C401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通用仪器仪表制造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C402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专用仪器仪表制造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C403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钟表与计时仪器制造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C404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光学仪器制造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C405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衡器制造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C409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其他仪器仪表制造业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（二十九）</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C41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其他制造业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C411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日用杂品制造</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C412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核辐射加工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C419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其他未列明制造业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（三十）</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C42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废弃资源综合利用业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C421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金属废料和碎屑加工处理</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C422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非金属废料和碎屑加工处理</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（三十一）</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C43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金属制品、机械和设备修理业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C431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金属制品修理</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C432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通用设备修理</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C433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专用设备修理</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C434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铁路、船舶、航空航天等运输设备修理</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C435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电气设备修理</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C436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仪器仪表修理</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7</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C439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其他机械和设备修理业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四</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D</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电力、热力、燃气及水生产和供应业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（一）</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D44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电力、热力生产和供应业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D441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电力生产</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电力生产（火力发电、热电联产、核力发电、生物质能发电）</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电力生产（其他）</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D442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电力供应</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D443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热力生产和供应</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热力生产和供应（燃煤、核能）</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热力生产和供应（其他）</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D45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燃气生产和供应业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D451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燃气生产和供应业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燃气生产</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燃气供应</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D452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生物质燃气生产和供应业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（三）</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D46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水的生产和供应业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D461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自来水生产和供应</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D462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污水处理及其再生利用</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D463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海水淡化处理</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D469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其他水的处理、利用和分配</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五</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E</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建筑业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（一）</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E47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房屋建筑业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E471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住宅房屋建筑</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E472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体育场馆建筑</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E479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其他房屋建筑业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E48</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土木工程建筑业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E481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铁路、道路、隧道和桥梁工程建筑</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E482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水利和水运工程建筑</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E483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海洋工程建筑</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E484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工矿工程建筑</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E485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架线和管道工程建筑</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E486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节能环保工程施工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7</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E487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电力工程施工</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8</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E489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其他土木工程建筑</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（三）</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E49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建筑安装业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E491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电气安装</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E492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管道和设备安装</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E499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其他建筑安装业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（四）</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E50</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建筑装饰、装修和其他建筑业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E501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建筑装饰和装修业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E502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建筑物拆除和场地准备</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E503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提供施工设备服务</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E509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其他未列明建筑业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六</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F</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批发和零售业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（一）</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F51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批发业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36"/>
                <w:szCs w:val="36"/>
                <w:vertAlign w:val="baseline"/>
                <w:lang w:bidi="ar"/>
              </w:rPr>
              <w:t>▲</w:t>
            </w: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b/>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F515</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医药及医疗器材批发</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20"/>
                <w:sz w:val="21"/>
                <w:szCs w:val="21"/>
                <w:vertAlign w:val="baseline"/>
                <w:lang w:bidi="ar"/>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F516</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矿产品、建材及化工产品批发</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b/>
                <w:color w:val="auto"/>
                <w:spacing w:val="-20"/>
                <w:sz w:val="21"/>
                <w:szCs w:val="21"/>
                <w:vertAlign w:val="baseline"/>
                <w:lang w:bidi="ar"/>
              </w:rPr>
            </w:pPr>
            <w:r>
              <w:rPr>
                <w:rFonts w:hint="eastAsia" w:ascii="仿宋_GB2312" w:hAnsi="仿宋_GB2312" w:eastAsia="仿宋_GB2312" w:cs="仿宋_GB2312"/>
                <w:color w:val="auto"/>
                <w:spacing w:val="-20"/>
                <w:sz w:val="36"/>
                <w:szCs w:val="36"/>
                <w:vertAlign w:val="baseline"/>
                <w:lang w:bidi="ar"/>
              </w:rPr>
              <w:t>▲</w:t>
            </w: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b/>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F519</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z w:val="18"/>
                <w:szCs w:val="18"/>
                <w:vertAlign w:val="baseline"/>
              </w:rPr>
              <w:t>其他批发业</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b/>
                <w:color w:val="auto"/>
                <w:spacing w:val="-20"/>
                <w:sz w:val="21"/>
                <w:szCs w:val="21"/>
                <w:vertAlign w:val="baseline"/>
                <w:lang w:bidi="ar"/>
              </w:rPr>
            </w:pPr>
            <w:r>
              <w:rPr>
                <w:rFonts w:hint="eastAsia" w:ascii="仿宋_GB2312" w:hAnsi="仿宋_GB2312" w:eastAsia="仿宋_GB2312" w:cs="仿宋_GB2312"/>
                <w:color w:val="auto"/>
                <w:spacing w:val="-20"/>
                <w:sz w:val="36"/>
                <w:szCs w:val="36"/>
                <w:vertAlign w:val="baseline"/>
                <w:lang w:bidi="ar"/>
              </w:rPr>
              <w:t>▲</w:t>
            </w:r>
            <w:r>
              <w:rPr>
                <w:rFonts w:hint="eastAsia" w:ascii="仿宋_GB2312" w:hAnsi="仿宋_GB2312" w:eastAsia="仿宋_GB2312" w:cs="仿宋_GB2312"/>
                <w:b/>
                <w:color w:val="auto"/>
                <w:spacing w:val="-20"/>
                <w:sz w:val="21"/>
                <w:szCs w:val="21"/>
                <w:vertAlign w:val="baseline"/>
                <w:lang w:bidi="ar"/>
              </w:rPr>
              <w:t>3.1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b/>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F5191</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z w:val="18"/>
                <w:szCs w:val="18"/>
                <w:vertAlign w:val="baseline"/>
              </w:rPr>
              <w:t>再生物资回收与批发</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F52</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零售业</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F526</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汽车、摩托车、零配件和燃料及其他动力销售</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F5265</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机动车燃油零售</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F5266</w:t>
            </w:r>
          </w:p>
        </w:tc>
        <w:tc>
          <w:tcPr>
            <w:tcW w:w="4910" w:type="dxa"/>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机动车燃气零售</w:t>
            </w:r>
          </w:p>
        </w:tc>
        <w:tc>
          <w:tcPr>
            <w:tcW w:w="9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七</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G</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交通运输、仓储和邮政业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（一）</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G53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铁路运输业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G533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铁路运输辅助活动</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G54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道路运输业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G541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城市公共交通运输（城市轨道交通）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G544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道路运输辅助活动</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（三）</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G55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水上运输业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G551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水上旅客运输</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G552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水上货物运输</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G553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水上运输辅助活动</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（四）</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G56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航空运输业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G561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航空客货运输</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G562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通用航空服务</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G563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航空运输辅助活动</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（五）</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G57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管道运输业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G571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海底管道运输</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G572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陆地管道运输</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（六）</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G59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装卸搬运和仓储业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G591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装卸搬运</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G593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低温仓储</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G594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危险品仓储</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G595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谷物、棉花等农产品仓储</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5</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G596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中药材仓储</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6</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G599</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其他仓储业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八</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H</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住宿和餐饮业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（一）</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H62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餐饮业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H621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正餐服务</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H622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快餐服务</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b/>
                <w:color w:val="auto"/>
                <w:spacing w:val="-20"/>
                <w:sz w:val="21"/>
                <w:szCs w:val="21"/>
                <w:vertAlign w:val="baseline"/>
                <w:lang w:bidi="ar"/>
              </w:rPr>
            </w:pPr>
            <w:r>
              <w:rPr>
                <w:rFonts w:hint="eastAsia" w:ascii="仿宋_GB2312" w:hAnsi="仿宋_GB2312" w:eastAsia="仿宋_GB2312" w:cs="仿宋_GB2312"/>
                <w:color w:val="auto"/>
                <w:spacing w:val="-20"/>
                <w:sz w:val="36"/>
                <w:szCs w:val="36"/>
                <w:vertAlign w:val="baseline"/>
                <w:lang w:bidi="ar"/>
              </w:rPr>
              <w:t>▲</w:t>
            </w:r>
            <w:r>
              <w:rPr>
                <w:rFonts w:hint="eastAsia" w:ascii="仿宋_GB2312" w:hAnsi="仿宋_GB2312" w:eastAsia="仿宋_GB2312" w:cs="仿宋_GB2312"/>
                <w:b/>
                <w:color w:val="auto"/>
                <w:spacing w:val="-20"/>
                <w:sz w:val="21"/>
                <w:szCs w:val="21"/>
                <w:vertAlign w:val="baseline"/>
                <w:lang w:bidi="ar"/>
              </w:rPr>
              <w:t>九</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b/>
                <w:color w:val="auto"/>
                <w:spacing w:val="-10"/>
                <w:sz w:val="21"/>
                <w:szCs w:val="21"/>
                <w:vertAlign w:val="baseline"/>
                <w:lang w:bidi="ar"/>
              </w:rPr>
            </w:pPr>
            <w:r>
              <w:rPr>
                <w:rFonts w:hint="eastAsia" w:ascii="仿宋_GB2312" w:hAnsi="仿宋_GB2312" w:eastAsia="仿宋_GB2312" w:cs="仿宋_GB2312"/>
                <w:b/>
                <w:color w:val="auto"/>
                <w:spacing w:val="-10"/>
                <w:sz w:val="21"/>
                <w:szCs w:val="21"/>
                <w:vertAlign w:val="baseline"/>
                <w:lang w:bidi="ar"/>
              </w:rPr>
              <w:t>I</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b/>
                <w:color w:val="auto"/>
                <w:spacing w:val="-10"/>
                <w:sz w:val="21"/>
                <w:szCs w:val="21"/>
                <w:vertAlign w:val="baseline"/>
                <w:lang w:bidi="ar"/>
              </w:rPr>
            </w:pPr>
            <w:r>
              <w:rPr>
                <w:rFonts w:hint="eastAsia" w:ascii="仿宋_GB2312" w:hAnsi="仿宋_GB2312" w:eastAsia="仿宋_GB2312" w:cs="仿宋_GB2312"/>
                <w:b/>
                <w:color w:val="auto"/>
                <w:spacing w:val="-10"/>
                <w:sz w:val="21"/>
                <w:szCs w:val="21"/>
                <w:vertAlign w:val="baseline"/>
                <w:lang w:bidi="ar"/>
              </w:rPr>
              <w:t>信息传输、软件和信息技术服务业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b/>
                <w:color w:val="auto"/>
                <w:spacing w:val="-20"/>
                <w:sz w:val="21"/>
                <w:szCs w:val="21"/>
                <w:vertAlign w:val="baseline"/>
                <w:lang w:bidi="ar"/>
              </w:rPr>
            </w:pPr>
            <w:r>
              <w:rPr>
                <w:rFonts w:hint="eastAsia" w:ascii="仿宋_GB2312" w:hAnsi="仿宋_GB2312" w:eastAsia="仿宋_GB2312" w:cs="仿宋_GB2312"/>
                <w:color w:val="auto"/>
                <w:spacing w:val="-20"/>
                <w:sz w:val="36"/>
                <w:szCs w:val="36"/>
                <w:vertAlign w:val="baseline"/>
                <w:lang w:bidi="ar"/>
              </w:rPr>
              <w:t>▲</w:t>
            </w:r>
            <w:r>
              <w:rPr>
                <w:rFonts w:hint="eastAsia" w:ascii="仿宋_GB2312" w:hAnsi="仿宋_GB2312" w:eastAsia="仿宋_GB2312" w:cs="仿宋_GB2312"/>
                <w:b/>
                <w:color w:val="auto"/>
                <w:spacing w:val="-20"/>
                <w:sz w:val="21"/>
                <w:szCs w:val="21"/>
                <w:vertAlign w:val="baseline"/>
                <w:lang w:bidi="ar"/>
              </w:rPr>
              <w:t>（一）</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b/>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I63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b/>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电信、广播电视和卫星传输服务</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b/>
                <w:color w:val="auto"/>
                <w:spacing w:val="-20"/>
                <w:sz w:val="21"/>
                <w:szCs w:val="21"/>
                <w:vertAlign w:val="baseline"/>
                <w:lang w:bidi="ar"/>
              </w:rPr>
            </w:pPr>
            <w:r>
              <w:rPr>
                <w:rFonts w:hint="eastAsia" w:ascii="仿宋_GB2312" w:hAnsi="仿宋_GB2312" w:eastAsia="仿宋_GB2312" w:cs="仿宋_GB2312"/>
                <w:color w:val="auto"/>
                <w:spacing w:val="-20"/>
                <w:sz w:val="36"/>
                <w:szCs w:val="36"/>
                <w:vertAlign w:val="baseline"/>
                <w:lang w:bidi="ar"/>
              </w:rPr>
              <w:t>▲</w:t>
            </w:r>
            <w:r>
              <w:rPr>
                <w:rFonts w:hint="eastAsia" w:ascii="仿宋_GB2312" w:hAnsi="仿宋_GB2312" w:eastAsia="仿宋_GB2312" w:cs="仿宋_GB2312"/>
                <w:b/>
                <w:color w:val="auto"/>
                <w:spacing w:val="-20"/>
                <w:sz w:val="21"/>
                <w:szCs w:val="21"/>
                <w:vertAlign w:val="baseline"/>
                <w:lang w:bidi="ar"/>
              </w:rPr>
              <w:t>（二）</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I64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互联网和相关服务</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b/>
                <w:color w:val="auto"/>
                <w:spacing w:val="-20"/>
                <w:sz w:val="21"/>
                <w:szCs w:val="21"/>
                <w:vertAlign w:val="baseline"/>
                <w:lang w:bidi="ar"/>
              </w:rPr>
            </w:pPr>
            <w:r>
              <w:rPr>
                <w:rFonts w:hint="eastAsia" w:ascii="仿宋_GB2312" w:hAnsi="仿宋_GB2312" w:eastAsia="仿宋_GB2312" w:cs="仿宋_GB2312"/>
                <w:color w:val="auto"/>
                <w:spacing w:val="-20"/>
                <w:sz w:val="36"/>
                <w:szCs w:val="36"/>
                <w:vertAlign w:val="baseline"/>
                <w:lang w:bidi="ar"/>
              </w:rPr>
              <w:t>▲</w:t>
            </w:r>
            <w:r>
              <w:rPr>
                <w:rFonts w:hint="eastAsia" w:ascii="仿宋_GB2312" w:hAnsi="仿宋_GB2312" w:eastAsia="仿宋_GB2312" w:cs="仿宋_GB2312"/>
                <w:b/>
                <w:color w:val="auto"/>
                <w:spacing w:val="-20"/>
                <w:sz w:val="21"/>
                <w:szCs w:val="21"/>
                <w:vertAlign w:val="baseline"/>
                <w:lang w:bidi="ar"/>
              </w:rPr>
              <w:t>（三）</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I65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软件和信息技术服务业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十</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M</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科学研究和技术服务业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（一）</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M73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研究和试验发展</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M731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自然科学研究和试验发展</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M732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工程和技术研究和试验发展</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3</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M733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农业科学和试验发展</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4</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M734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医学研究和试验发展</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M74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专业技术服务业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36"/>
                <w:szCs w:val="36"/>
                <w:vertAlign w:val="baseline"/>
                <w:lang w:bidi="ar"/>
              </w:rPr>
              <w:t>▲</w:t>
            </w:r>
            <w:r>
              <w:rPr>
                <w:rFonts w:hint="eastAsia" w:ascii="仿宋_GB2312" w:hAnsi="仿宋_GB2312" w:eastAsia="仿宋_GB2312" w:cs="仿宋_GB2312"/>
                <w:color w:val="auto"/>
                <w:spacing w:val="-1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M745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质检技术服务</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20"/>
                <w:sz w:val="21"/>
                <w:szCs w:val="21"/>
                <w:vertAlign w:val="baseline"/>
                <w:lang w:bidi="ar"/>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M746</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环境与生态监测检测服务</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20"/>
                <w:sz w:val="21"/>
                <w:szCs w:val="21"/>
                <w:vertAlign w:val="baseline"/>
                <w:lang w:bidi="ar"/>
              </w:rPr>
            </w:pPr>
            <w:r>
              <w:rPr>
                <w:rFonts w:hint="eastAsia" w:ascii="仿宋_GB2312" w:hAnsi="仿宋_GB2312" w:eastAsia="仿宋_GB2312" w:cs="仿宋_GB2312"/>
                <w:color w:val="auto"/>
                <w:spacing w:val="-20"/>
                <w:sz w:val="36"/>
                <w:szCs w:val="36"/>
                <w:vertAlign w:val="baseline"/>
                <w:lang w:bidi="ar"/>
              </w:rPr>
              <w:t>▲</w:t>
            </w:r>
            <w:r>
              <w:rPr>
                <w:rFonts w:hint="eastAsia" w:ascii="仿宋_GB2312" w:hAnsi="仿宋_GB2312" w:eastAsia="仿宋_GB2312" w:cs="仿宋_GB2312"/>
                <w:color w:val="auto"/>
                <w:spacing w:val="-20"/>
                <w:sz w:val="21"/>
                <w:szCs w:val="21"/>
                <w:vertAlign w:val="baseline"/>
                <w:lang w:bidi="ar"/>
              </w:rPr>
              <w:t>（三）</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b/>
                <w:color w:val="auto"/>
                <w:spacing w:val="-10"/>
                <w:sz w:val="21"/>
                <w:szCs w:val="21"/>
                <w:vertAlign w:val="baseline"/>
                <w:lang w:bidi="ar"/>
              </w:rPr>
              <w:t>M75</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科技推广和应用服务</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20"/>
                <w:sz w:val="21"/>
                <w:szCs w:val="21"/>
                <w:vertAlign w:val="baseline"/>
                <w:lang w:bidi="ar"/>
              </w:rPr>
            </w:pPr>
            <w:r>
              <w:rPr>
                <w:rFonts w:hint="eastAsia" w:ascii="仿宋_GB2312" w:hAnsi="仿宋_GB2312" w:eastAsia="仿宋_GB2312" w:cs="仿宋_GB2312"/>
                <w:color w:val="auto"/>
                <w:spacing w:val="-23"/>
                <w:sz w:val="36"/>
                <w:szCs w:val="36"/>
                <w:vertAlign w:val="baseline"/>
                <w:lang w:bidi="ar"/>
              </w:rPr>
              <w:t>▲</w:t>
            </w: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M751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技术推广服务</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十一</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N</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水利、环境和公共设施管理业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（一）</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N77</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生态保护和环境治理业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N772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环境治理业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环境治理业（危险废物治理、放射性废物治理）</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环境治理业（其他）</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N78</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公共设施管理业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b/>
                <w:color w:val="auto"/>
                <w:spacing w:val="-20"/>
                <w:sz w:val="21"/>
                <w:szCs w:val="21"/>
                <w:vertAlign w:val="baseline"/>
                <w:lang w:bidi="ar"/>
              </w:rPr>
            </w:pPr>
            <w:r>
              <w:rPr>
                <w:rFonts w:hint="eastAsia" w:ascii="仿宋_GB2312" w:hAnsi="仿宋_GB2312" w:eastAsia="仿宋_GB2312" w:cs="仿宋_GB2312"/>
                <w:color w:val="auto"/>
                <w:spacing w:val="-20"/>
                <w:sz w:val="36"/>
                <w:szCs w:val="36"/>
                <w:vertAlign w:val="baseline"/>
                <w:lang w:bidi="ar"/>
              </w:rPr>
              <w:t>▲</w:t>
            </w: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b/>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N781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b/>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市政设施管理</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N782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环境卫生管理</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十二</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O</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居民服务、修理和其他服务业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（一）</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O80</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居民服务业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O803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洗染服务</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O808</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殡葬服务</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（二）</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O81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机动车、电子产品和日用产品修理业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O811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汽车、摩托车修理与维护*</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（三）</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O82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其他服务业</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36"/>
                <w:szCs w:val="36"/>
                <w:vertAlign w:val="baseline"/>
                <w:lang w:bidi="ar"/>
              </w:rPr>
              <w:t>▲</w:t>
            </w: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O821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清洁服务</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20"/>
                <w:sz w:val="21"/>
                <w:szCs w:val="21"/>
                <w:vertAlign w:val="baseline"/>
                <w:lang w:bidi="ar"/>
              </w:rPr>
            </w:pP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O822</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宠物服务</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十三</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Q</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卫生和社会工作</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20"/>
                <w:sz w:val="21"/>
                <w:szCs w:val="21"/>
                <w:vertAlign w:val="baseline"/>
                <w:lang w:bidi="ar"/>
              </w:rPr>
              <w:t>（一）</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Q84</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b/>
                <w:color w:val="auto"/>
                <w:spacing w:val="-10"/>
                <w:sz w:val="21"/>
                <w:szCs w:val="21"/>
                <w:vertAlign w:val="baseline"/>
                <w:lang w:bidi="ar"/>
              </w:rPr>
              <w:t>卫生</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20"/>
                <w:sz w:val="21"/>
                <w:szCs w:val="21"/>
                <w:vertAlign w:val="baseline"/>
                <w:lang w:bidi="ar"/>
              </w:rPr>
              <w:t>1</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Q841</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医院</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r>
              <w:rPr>
                <w:rFonts w:hint="eastAsia" w:ascii="仿宋_GB2312" w:hAnsi="仿宋_GB2312" w:eastAsia="仿宋_GB2312" w:cs="仿宋_GB2312"/>
                <w:color w:val="auto"/>
                <w:spacing w:val="-10"/>
                <w:sz w:val="21"/>
                <w:szCs w:val="21"/>
                <w:vertAlign w:val="baseli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20"/>
                <w:sz w:val="21"/>
                <w:szCs w:val="21"/>
                <w:vertAlign w:val="baseline"/>
                <w:lang w:bidi="ar"/>
              </w:rPr>
            </w:pPr>
            <w:r>
              <w:rPr>
                <w:rFonts w:hint="eastAsia" w:ascii="仿宋_GB2312" w:hAnsi="仿宋_GB2312" w:eastAsia="仿宋_GB2312" w:cs="仿宋_GB2312"/>
                <w:color w:val="auto"/>
                <w:spacing w:val="-20"/>
                <w:sz w:val="36"/>
                <w:szCs w:val="36"/>
                <w:vertAlign w:val="baseline"/>
                <w:lang w:bidi="ar"/>
              </w:rPr>
              <w:t>▲</w:t>
            </w:r>
            <w:r>
              <w:rPr>
                <w:rFonts w:hint="eastAsia" w:ascii="仿宋_GB2312" w:hAnsi="仿宋_GB2312" w:eastAsia="仿宋_GB2312" w:cs="仿宋_GB2312"/>
                <w:color w:val="auto"/>
                <w:spacing w:val="-20"/>
                <w:sz w:val="21"/>
                <w:szCs w:val="21"/>
                <w:vertAlign w:val="baseline"/>
                <w:lang w:bidi="ar"/>
              </w:rPr>
              <w:t>2</w:t>
            </w:r>
          </w:p>
        </w:tc>
        <w:tc>
          <w:tcPr>
            <w:tcW w:w="1183"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Q843</w:t>
            </w:r>
          </w:p>
        </w:tc>
        <w:tc>
          <w:tcPr>
            <w:tcW w:w="4910"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z w:val="18"/>
                <w:szCs w:val="18"/>
                <w:vertAlign w:val="baseline"/>
              </w:rPr>
              <w:t>专业公共卫生服务</w:t>
            </w:r>
          </w:p>
        </w:tc>
        <w:tc>
          <w:tcPr>
            <w:tcW w:w="928"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z w:val="21"/>
                <w:vertAlign w:val="baseline"/>
              </w:rPr>
            </w:pPr>
          </w:p>
        </w:tc>
        <w:tc>
          <w:tcPr>
            <w:tcW w:w="861"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80" w:lineRule="atLeast"/>
              <w:ind w:firstLine="0" w:firstLineChars="0"/>
              <w:jc w:val="center"/>
              <w:textAlignment w:val="auto"/>
              <w:rPr>
                <w:rFonts w:hint="eastAsia" w:ascii="仿宋_GB2312" w:hAnsi="仿宋_GB2312" w:eastAsia="仿宋_GB2312" w:cs="仿宋_GB2312"/>
                <w:color w:val="auto"/>
                <w:spacing w:val="-10"/>
                <w:sz w:val="21"/>
                <w:szCs w:val="21"/>
                <w:vertAlign w:val="baseline"/>
                <w:lang w:bidi="ar"/>
              </w:rPr>
            </w:pPr>
            <w:r>
              <w:rPr>
                <w:rFonts w:hint="eastAsia" w:ascii="仿宋_GB2312" w:hAnsi="仿宋_GB2312" w:eastAsia="仿宋_GB2312" w:cs="仿宋_GB2312"/>
                <w:color w:val="auto"/>
                <w:spacing w:val="-10"/>
                <w:sz w:val="21"/>
                <w:szCs w:val="21"/>
                <w:vertAlign w:val="baseline"/>
                <w:lang w:bidi="ar"/>
              </w:rPr>
              <w:t>√</w:t>
            </w:r>
          </w:p>
        </w:tc>
      </w:tr>
    </w:tbl>
    <w:p>
      <w:pPr>
        <w:spacing w:line="440" w:lineRule="exact"/>
        <w:ind w:firstLine="210" w:firstLineChars="100"/>
        <w:rPr>
          <w:rFonts w:hint="eastAsia" w:ascii="Times New Roman" w:hAnsi="Times New Roman" w:eastAsia="宋体"/>
          <w:bCs/>
          <w:snapToGrid w:val="0"/>
          <w:sz w:val="21"/>
          <w:szCs w:val="21"/>
        </w:rPr>
      </w:pPr>
      <w:r>
        <w:rPr>
          <w:rFonts w:ascii="Times New Roman" w:hAnsi="Times New Roman" w:eastAsia="宋体"/>
          <w:bCs/>
          <w:snapToGrid w:val="0"/>
          <w:sz w:val="21"/>
          <w:szCs w:val="21"/>
        </w:rPr>
        <w:t>注：</w:t>
      </w:r>
      <w:r>
        <w:rPr>
          <w:rFonts w:hint="eastAsia" w:ascii="Times New Roman" w:hAnsi="Times New Roman" w:eastAsia="宋体"/>
          <w:bCs/>
          <w:snapToGrid w:val="0"/>
          <w:sz w:val="21"/>
          <w:szCs w:val="21"/>
        </w:rPr>
        <w:t>1.在序号标注</w:t>
      </w:r>
      <w:r>
        <w:rPr>
          <w:rFonts w:hint="eastAsia" w:ascii="Times New Roman" w:hAnsi="Times New Roman" w:eastAsia="宋体"/>
          <w:bCs/>
          <w:snapToGrid w:val="0"/>
          <w:sz w:val="21"/>
          <w:szCs w:val="21"/>
          <w:vertAlign w:val="superscript"/>
        </w:rPr>
        <w:t>▲</w:t>
      </w:r>
      <w:r>
        <w:rPr>
          <w:rFonts w:hint="eastAsia" w:ascii="Times New Roman" w:hAnsi="Times New Roman" w:eastAsia="宋体"/>
          <w:bCs/>
          <w:snapToGrid w:val="0"/>
          <w:sz w:val="21"/>
          <w:szCs w:val="21"/>
        </w:rPr>
        <w:t>部分，是根据我省职业病危害实际情况，在国家卫生健康委公布的《建设项目职业病危害风险分类管理目录》的基础上，补充的有关行业。</w:t>
      </w:r>
    </w:p>
    <w:p>
      <w:pPr>
        <w:spacing w:line="440" w:lineRule="exact"/>
        <w:ind w:firstLine="420" w:firstLineChars="200"/>
        <w:rPr>
          <w:rFonts w:ascii="Calibri" w:hAnsi="Calibri" w:eastAsia="宋体" w:cs="Times New Roman"/>
          <w:sz w:val="21"/>
        </w:rPr>
      </w:pPr>
      <w:r>
        <w:rPr>
          <w:rFonts w:hint="eastAsia" w:ascii="Times New Roman" w:hAnsi="Times New Roman" w:eastAsia="宋体"/>
          <w:bCs/>
          <w:snapToGrid w:val="0"/>
          <w:sz w:val="21"/>
          <w:szCs w:val="21"/>
        </w:rPr>
        <w:t>2.</w:t>
      </w:r>
      <w:r>
        <w:rPr>
          <w:rFonts w:hint="eastAsia" w:ascii="Times New Roman" w:hAnsi="Times New Roman" w:eastAsia="宋体"/>
          <w:bCs/>
          <w:snapToGrid w:val="0"/>
          <w:sz w:val="21"/>
          <w:szCs w:val="21"/>
          <w:lang w:val="en-US" w:eastAsia="zh-CN"/>
        </w:rPr>
        <w:t>标注</w:t>
      </w:r>
      <w:r>
        <w:rPr>
          <w:rFonts w:ascii="Times New Roman" w:hAnsi="Times New Roman" w:eastAsia="宋体"/>
          <w:bCs/>
          <w:snapToGrid w:val="0"/>
          <w:sz w:val="21"/>
          <w:szCs w:val="21"/>
        </w:rPr>
        <w:t>*</w:t>
      </w:r>
      <w:r>
        <w:rPr>
          <w:rFonts w:hint="eastAsia" w:ascii="Times New Roman" w:hAnsi="Times New Roman" w:eastAsia="宋体"/>
          <w:bCs/>
          <w:snapToGrid w:val="0"/>
          <w:sz w:val="21"/>
          <w:szCs w:val="21"/>
          <w:lang w:val="en-US" w:eastAsia="zh-CN"/>
        </w:rPr>
        <w:t>的行业，</w:t>
      </w:r>
      <w:r>
        <w:rPr>
          <w:rFonts w:ascii="Times New Roman" w:hAnsi="Times New Roman" w:eastAsia="宋体"/>
          <w:bCs/>
          <w:snapToGrid w:val="0"/>
          <w:sz w:val="21"/>
          <w:szCs w:val="21"/>
        </w:rPr>
        <w:t>不</w:t>
      </w:r>
      <w:r>
        <w:rPr>
          <w:rFonts w:ascii="Times New Roman" w:hAnsi="Times New Roman" w:eastAsia="宋体"/>
          <w:snapToGrid w:val="0"/>
          <w:sz w:val="21"/>
          <w:szCs w:val="21"/>
        </w:rPr>
        <w:t>使用含苯、正己烷、1,2二氯乙烷、三氯甲烷</w:t>
      </w:r>
      <w:r>
        <w:rPr>
          <w:rFonts w:hint="eastAsia" w:ascii="Times New Roman" w:hAnsi="Times New Roman" w:eastAsia="宋体"/>
          <w:snapToGrid w:val="0"/>
          <w:color w:val="FF0000"/>
          <w:sz w:val="21"/>
          <w:szCs w:val="21"/>
        </w:rPr>
        <w:t>、*三氯乙烯（该物质为结合我省实际补充）</w:t>
      </w:r>
      <w:r>
        <w:rPr>
          <w:rFonts w:ascii="Times New Roman" w:hAnsi="Times New Roman" w:eastAsia="宋体"/>
          <w:snapToGrid w:val="0"/>
          <w:sz w:val="21"/>
          <w:szCs w:val="21"/>
        </w:rPr>
        <w:t>等物质的胶黏剂、清洗剂、油墨、油漆</w:t>
      </w:r>
      <w:r>
        <w:rPr>
          <w:rFonts w:hint="eastAsia" w:ascii="Times New Roman" w:hAnsi="Times New Roman" w:eastAsia="宋体"/>
          <w:snapToGrid w:val="0"/>
          <w:sz w:val="21"/>
          <w:szCs w:val="21"/>
        </w:rPr>
        <w:t>时</w:t>
      </w:r>
      <w:r>
        <w:rPr>
          <w:rFonts w:ascii="Times New Roman" w:hAnsi="Times New Roman" w:eastAsia="宋体"/>
          <w:snapToGrid w:val="0"/>
          <w:sz w:val="21"/>
          <w:szCs w:val="21"/>
        </w:rPr>
        <w:t>，按职业病危害一般进行管理。</w:t>
      </w:r>
    </w:p>
    <w:p>
      <w:pPr>
        <w:widowControl/>
        <w:snapToGrid/>
        <w:spacing w:line="560" w:lineRule="exact"/>
        <w:ind w:firstLine="640" w:firstLineChars="200"/>
        <w:rPr>
          <w:rFonts w:hint="eastAsia" w:ascii="仿宋_GB2312" w:hAnsi="仿宋_GB2312" w:cs="仿宋_GB2312"/>
          <w:szCs w:val="32"/>
        </w:rPr>
      </w:pPr>
    </w:p>
    <w:p>
      <w:pPr>
        <w:widowControl/>
        <w:snapToGrid/>
        <w:spacing w:line="560" w:lineRule="exact"/>
        <w:ind w:firstLine="640" w:firstLineChars="200"/>
        <w:rPr>
          <w:rFonts w:hint="eastAsia" w:ascii="仿宋_GB2312" w:hAnsi="仿宋_GB2312" w:cs="仿宋_GB2312"/>
          <w:szCs w:val="32"/>
        </w:rPr>
      </w:pPr>
    </w:p>
    <w:p>
      <w:pPr>
        <w:widowControl/>
        <w:snapToGrid/>
        <w:spacing w:line="560" w:lineRule="exact"/>
        <w:ind w:firstLine="640" w:firstLineChars="200"/>
        <w:rPr>
          <w:rFonts w:hint="eastAsia" w:ascii="仿宋_GB2312" w:hAnsi="仿宋_GB2312" w:cs="仿宋_GB2312"/>
          <w:szCs w:val="32"/>
        </w:rPr>
      </w:pPr>
    </w:p>
    <w:p>
      <w:pPr>
        <w:widowControl/>
        <w:snapToGrid/>
        <w:spacing w:line="560" w:lineRule="exact"/>
        <w:ind w:firstLine="640" w:firstLineChars="200"/>
        <w:rPr>
          <w:rFonts w:hint="eastAsia" w:ascii="仿宋_GB2312" w:hAnsi="仿宋_GB2312" w:cs="仿宋_GB2312"/>
          <w:szCs w:val="32"/>
        </w:rPr>
      </w:pPr>
    </w:p>
    <w:p>
      <w:pPr>
        <w:widowControl/>
        <w:snapToGrid/>
        <w:spacing w:line="560" w:lineRule="exact"/>
        <w:ind w:firstLine="640" w:firstLineChars="200"/>
        <w:rPr>
          <w:rFonts w:hint="eastAsia" w:ascii="仿宋_GB2312" w:hAnsi="仿宋_GB2312" w:cs="仿宋_GB2312"/>
          <w:szCs w:val="32"/>
        </w:rPr>
      </w:pPr>
    </w:p>
    <w:p>
      <w:pPr>
        <w:widowControl/>
        <w:snapToGrid/>
        <w:spacing w:line="560" w:lineRule="exact"/>
        <w:ind w:firstLine="640" w:firstLineChars="200"/>
        <w:rPr>
          <w:rFonts w:hint="eastAsia" w:ascii="仿宋_GB2312" w:hAnsi="仿宋_GB2312" w:cs="仿宋_GB2312"/>
          <w:szCs w:val="32"/>
        </w:rPr>
      </w:pPr>
    </w:p>
    <w:p>
      <w:pPr>
        <w:widowControl/>
        <w:snapToGrid/>
        <w:spacing w:line="560" w:lineRule="exact"/>
        <w:ind w:firstLine="640" w:firstLineChars="200"/>
        <w:rPr>
          <w:rFonts w:hint="eastAsia" w:ascii="仿宋_GB2312" w:hAnsi="仿宋_GB2312" w:cs="仿宋_GB2312"/>
          <w:szCs w:val="32"/>
        </w:rPr>
      </w:pPr>
    </w:p>
    <w:p>
      <w:pPr>
        <w:widowControl/>
        <w:snapToGrid/>
        <w:spacing w:line="560" w:lineRule="exact"/>
        <w:ind w:firstLine="640" w:firstLineChars="200"/>
        <w:rPr>
          <w:rFonts w:hint="eastAsia" w:ascii="仿宋_GB2312" w:hAnsi="仿宋_GB2312" w:cs="仿宋_GB2312"/>
          <w:szCs w:val="32"/>
        </w:rPr>
      </w:pPr>
    </w:p>
    <w:p>
      <w:pPr>
        <w:widowControl/>
        <w:snapToGrid/>
        <w:spacing w:line="560" w:lineRule="exact"/>
        <w:ind w:firstLine="640" w:firstLineChars="200"/>
        <w:rPr>
          <w:rFonts w:hint="eastAsia" w:ascii="仿宋_GB2312" w:hAnsi="仿宋_GB2312" w:cs="仿宋_GB2312"/>
          <w:szCs w:val="32"/>
        </w:rPr>
      </w:pPr>
    </w:p>
    <w:p>
      <w:pPr>
        <w:widowControl/>
        <w:snapToGrid/>
        <w:spacing w:line="560" w:lineRule="exact"/>
        <w:ind w:firstLine="640" w:firstLineChars="200"/>
        <w:rPr>
          <w:rFonts w:hint="eastAsia" w:ascii="仿宋_GB2312" w:hAnsi="仿宋_GB2312" w:cs="仿宋_GB2312"/>
          <w:szCs w:val="32"/>
        </w:rPr>
      </w:pPr>
    </w:p>
    <w:p>
      <w:pPr>
        <w:snapToGrid/>
        <w:spacing w:line="240" w:lineRule="auto"/>
        <w:ind w:right="560" w:firstLine="0" w:firstLineChars="0"/>
        <w:jc w:val="right"/>
        <w:rPr>
          <w:rFonts w:hint="eastAsia" w:ascii="Calibri" w:hAnsi="Calibri" w:cs="Times New Roman"/>
        </w:rPr>
      </w:pP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ź�">
    <w:altName w:val="Segoe Print"/>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eastAsia="宋体"/>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3"/>
                      <w:rPr>
                        <w:rFonts w:hint="eastAsia" w:eastAsia="宋体"/>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4F3767"/>
    <w:rsid w:val="123D6A16"/>
    <w:rsid w:val="1B213637"/>
    <w:rsid w:val="20054182"/>
    <w:rsid w:val="30750EE5"/>
    <w:rsid w:val="690375BB"/>
    <w:rsid w:val="72583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line="560" w:lineRule="exact"/>
      <w:ind w:firstLine="880" w:firstLineChars="200"/>
      <w:jc w:val="both"/>
    </w:pPr>
    <w:rPr>
      <w:rFonts w:ascii="仿宋_GB2312" w:hAnsi="仿宋_GB2312" w:eastAsia="仿宋_GB2312" w:cs="仿宋_GB2312"/>
      <w:kern w:val="2"/>
      <w:sz w:val="32"/>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jc w:val="center"/>
      <w:outlineLvl w:val="0"/>
    </w:pPr>
    <w:rPr>
      <w:rFonts w:ascii="仿宋_GB2312" w:hAnsi="仿宋_GB2312" w:eastAsia="方正小标宋简体"/>
      <w:kern w:val="44"/>
      <w:sz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rFonts w:eastAsia="宋体"/>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2021-08-16T07:44:00Z</dcterms:created>
  <dc:creator>Administrator</dc:creator>
  <cp:lastModifiedBy>陈嘉欣</cp:lastModifiedBy>
  <dcterms:modified xsi:type="dcterms:W3CDTF">2022-02-22T05:34:30Z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CB184217B3D94F93828DAF444C2F4017</vt:lpwstr>
  </property>
</Properties>
</file>